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4" w:rsidRDefault="00C94E34"/>
    <w:p w:rsidR="00C94E34" w:rsidRDefault="00C94E34">
      <w:r>
        <w:t>Themenliste:</w:t>
      </w:r>
    </w:p>
    <w:p w:rsidR="00C94E34" w:rsidRDefault="00C94E34"/>
    <w:p w:rsidR="00C94E34" w:rsidRDefault="00C94E34">
      <w:pPr>
        <w:numPr>
          <w:ilvl w:val="0"/>
          <w:numId w:val="1"/>
        </w:numPr>
        <w:spacing w:line="360" w:lineRule="auto"/>
      </w:pPr>
      <w:r>
        <w:t>Die Kodifikation Justinians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>Die XII-Tafeln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>Das in der Volksversammlung beschlossene Gesetz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>Plebiszite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>Das Edikt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>Der Prätor und das Formularverfahren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fundatores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civilis</w:t>
      </w:r>
      <w:proofErr w:type="spellEnd"/>
      <w:r>
        <w:t xml:space="preserve">: </w:t>
      </w:r>
      <w:proofErr w:type="spellStart"/>
      <w:r>
        <w:t>Publius</w:t>
      </w:r>
      <w:proofErr w:type="spellEnd"/>
      <w:r>
        <w:t xml:space="preserve"> </w:t>
      </w:r>
      <w:proofErr w:type="spellStart"/>
      <w:r>
        <w:t>Mucius</w:t>
      </w:r>
      <w:proofErr w:type="spellEnd"/>
      <w:r>
        <w:t xml:space="preserve">, </w:t>
      </w:r>
      <w:proofErr w:type="spellStart"/>
      <w:r>
        <w:t>Manilius</w:t>
      </w:r>
      <w:proofErr w:type="spellEnd"/>
      <w:r>
        <w:t>, Brutus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 xml:space="preserve">Quintus </w:t>
      </w:r>
      <w:proofErr w:type="spellStart"/>
      <w:r>
        <w:t>Mucius</w:t>
      </w:r>
      <w:proofErr w:type="spellEnd"/>
      <w:r>
        <w:t xml:space="preserve"> </w:t>
      </w:r>
      <w:proofErr w:type="spellStart"/>
      <w:r>
        <w:t>Scaevola</w:t>
      </w:r>
      <w:proofErr w:type="spellEnd"/>
    </w:p>
    <w:p w:rsidR="00C94E34" w:rsidRDefault="00C94E34">
      <w:pPr>
        <w:numPr>
          <w:ilvl w:val="0"/>
          <w:numId w:val="1"/>
        </w:numPr>
        <w:spacing w:line="360" w:lineRule="auto"/>
      </w:pPr>
      <w:proofErr w:type="spellStart"/>
      <w:r>
        <w:t>Aquilius</w:t>
      </w:r>
      <w:proofErr w:type="spellEnd"/>
      <w:r>
        <w:t xml:space="preserve"> Gallus</w:t>
      </w:r>
    </w:p>
    <w:p w:rsidR="00C94E34" w:rsidRDefault="00C94E34">
      <w:pPr>
        <w:numPr>
          <w:ilvl w:val="0"/>
          <w:numId w:val="1"/>
        </w:numPr>
        <w:spacing w:line="360" w:lineRule="auto"/>
      </w:pPr>
      <w:proofErr w:type="spellStart"/>
      <w:r>
        <w:t>Servius</w:t>
      </w:r>
      <w:proofErr w:type="spellEnd"/>
      <w:r>
        <w:t xml:space="preserve"> </w:t>
      </w:r>
      <w:proofErr w:type="spellStart"/>
      <w:r>
        <w:t>Sulpicius</w:t>
      </w:r>
      <w:proofErr w:type="spellEnd"/>
      <w:r w:rsidR="00531482">
        <w:t xml:space="preserve"> </w:t>
      </w:r>
      <w:proofErr w:type="spellStart"/>
      <w:r w:rsidR="00531482">
        <w:t>Rufus</w:t>
      </w:r>
      <w:proofErr w:type="spellEnd"/>
    </w:p>
    <w:p w:rsidR="00C94E34" w:rsidRDefault="00C94E34">
      <w:pPr>
        <w:numPr>
          <w:ilvl w:val="0"/>
          <w:numId w:val="1"/>
        </w:numPr>
        <w:spacing w:line="360" w:lineRule="auto"/>
      </w:pPr>
      <w:r>
        <w:t xml:space="preserve">Das 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 xml:space="preserve"> ex </w:t>
      </w:r>
      <w:proofErr w:type="spellStart"/>
      <w:r>
        <w:t>auctoritate</w:t>
      </w:r>
      <w:proofErr w:type="spellEnd"/>
      <w:r>
        <w:t xml:space="preserve"> </w:t>
      </w:r>
      <w:proofErr w:type="spellStart"/>
      <w:r>
        <w:t>principis</w:t>
      </w:r>
      <w:proofErr w:type="spellEnd"/>
    </w:p>
    <w:p w:rsidR="00C94E34" w:rsidRDefault="00C94E34">
      <w:pPr>
        <w:numPr>
          <w:ilvl w:val="0"/>
          <w:numId w:val="1"/>
        </w:numPr>
        <w:spacing w:line="360" w:lineRule="auto"/>
      </w:pPr>
      <w:r>
        <w:t>Kaiserkonstitutionen als neue Rechtsquelle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sabinianische</w:t>
      </w:r>
      <w:proofErr w:type="spellEnd"/>
      <w:r>
        <w:t xml:space="preserve"> Rechtsschule</w:t>
      </w:r>
    </w:p>
    <w:p w:rsidR="00C94E34" w:rsidRDefault="00C94E34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prokulianische</w:t>
      </w:r>
      <w:proofErr w:type="spellEnd"/>
      <w:r>
        <w:t xml:space="preserve"> Rechtsschule</w:t>
      </w:r>
    </w:p>
    <w:p w:rsidR="00531482" w:rsidRDefault="00531482" w:rsidP="00531482">
      <w:pPr>
        <w:spacing w:line="360" w:lineRule="auto"/>
      </w:pPr>
    </w:p>
    <w:p w:rsidR="00C94E34" w:rsidRDefault="00531482" w:rsidP="00531482">
      <w:pPr>
        <w:spacing w:line="360" w:lineRule="auto"/>
      </w:pPr>
      <w:r>
        <w:t>In der Vorbesprechung werden zu den Themen auch Literaturhinweise gegeben und wird ein Leitfaden für die Anfertigung von Seminararbeiten zur Verfügung gestellt.</w:t>
      </w:r>
    </w:p>
    <w:sectPr w:rsidR="00C94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772"/>
    <w:multiLevelType w:val="hybridMultilevel"/>
    <w:tmpl w:val="E03AB7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82"/>
    <w:rsid w:val="00052183"/>
    <w:rsid w:val="00531482"/>
    <w:rsid w:val="00C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im Wintersemester 2012/13</vt:lpstr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im Wintersemester 2012/13</dc:title>
  <dc:creator>Möller</dc:creator>
  <cp:lastModifiedBy>Rechtsanwalt</cp:lastModifiedBy>
  <cp:revision>2</cp:revision>
  <dcterms:created xsi:type="dcterms:W3CDTF">2012-06-28T14:02:00Z</dcterms:created>
  <dcterms:modified xsi:type="dcterms:W3CDTF">2012-06-28T14:02:00Z</dcterms:modified>
</cp:coreProperties>
</file>